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5" w:rsidRDefault="00031315" w:rsidP="00031315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0B4F738F" wp14:editId="0210DF70">
            <wp:extent cx="5760720" cy="1219066"/>
            <wp:effectExtent l="0" t="0" r="0" b="63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dschirmfoto 2019-03-13 um 12.09.2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"/>
                    <a:stretch/>
                  </pic:blipFill>
                  <pic:spPr bwMode="auto">
                    <a:xfrm>
                      <a:off x="0" y="0"/>
                      <a:ext cx="5760720" cy="121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315" w:rsidRPr="00031315" w:rsidRDefault="00031315" w:rsidP="00031315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031315">
        <w:rPr>
          <w:rFonts w:asciiTheme="minorHAnsi" w:hAnsiTheme="minorHAnsi" w:cs="Times New Roman"/>
          <w:color w:val="365F91"/>
          <w:sz w:val="22"/>
          <w:szCs w:val="22"/>
        </w:rPr>
        <w:t>Übersicht</w:t>
      </w:r>
    </w:p>
    <w:p w:rsidR="00031315" w:rsidRPr="00031315" w:rsidRDefault="00031315" w:rsidP="00632AD1">
      <w:pPr>
        <w:spacing w:line="360" w:lineRule="auto"/>
      </w:pPr>
      <w:r w:rsidRPr="00031315">
        <w:t>Baden-Württemberg bietet eine vielfältige Hochschullandschaft. Insgesamt gibt es 9 staatliche Universitäten, 23 Hochschulen für angewandte Wissenschaften, 9 Duale Hochschulen, 6 Pädagogische Hochschulen, 8 Kunst- und Musikhochschulen und 26 private Hochschulen.</w:t>
      </w:r>
    </w:p>
    <w:p w:rsidR="00031315" w:rsidRPr="00031315" w:rsidRDefault="00031315" w:rsidP="00031315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031315">
        <w:rPr>
          <w:rFonts w:asciiTheme="minorHAnsi" w:hAnsiTheme="minorHAnsi" w:cs="Times New Roman"/>
          <w:color w:val="365F91"/>
          <w:sz w:val="22"/>
          <w:szCs w:val="22"/>
        </w:rPr>
        <w:t xml:space="preserve">Besonderheiten </w:t>
      </w:r>
    </w:p>
    <w:p w:rsidR="00031315" w:rsidRPr="00031315" w:rsidRDefault="00031315" w:rsidP="00031315">
      <w:pPr>
        <w:pStyle w:val="Listenabsatz"/>
        <w:numPr>
          <w:ilvl w:val="0"/>
          <w:numId w:val="15"/>
        </w:numPr>
        <w:spacing w:line="360" w:lineRule="auto"/>
      </w:pPr>
      <w:r w:rsidRPr="00031315">
        <w:t>Universität: Theorie- und forschungsorientierte Ausrichtung</w:t>
      </w:r>
    </w:p>
    <w:p w:rsidR="00031315" w:rsidRPr="00031315" w:rsidRDefault="00031315" w:rsidP="00031315">
      <w:pPr>
        <w:pStyle w:val="Listenabsatz"/>
        <w:numPr>
          <w:ilvl w:val="0"/>
          <w:numId w:val="15"/>
        </w:numPr>
        <w:spacing w:line="360" w:lineRule="auto"/>
      </w:pPr>
      <w:r w:rsidRPr="00031315">
        <w:t>Hochschule für angewandte Wissenschaften: Hoher Praxis- und Anwendungsbezug</w:t>
      </w:r>
    </w:p>
    <w:p w:rsidR="00031315" w:rsidRPr="00031315" w:rsidRDefault="00031315" w:rsidP="00031315">
      <w:pPr>
        <w:pStyle w:val="Listenabsatz"/>
        <w:numPr>
          <w:ilvl w:val="0"/>
          <w:numId w:val="15"/>
        </w:numPr>
        <w:spacing w:line="360" w:lineRule="auto"/>
      </w:pPr>
      <w:r w:rsidRPr="00031315">
        <w:t>Duale</w:t>
      </w:r>
      <w:r w:rsidR="00632AD1">
        <w:t xml:space="preserve"> Hochschule: Parallel</w:t>
      </w:r>
      <w:r w:rsidRPr="00031315">
        <w:t xml:space="preserve"> ablaufendes Hochschulstudium neben einer </w:t>
      </w:r>
      <w:bookmarkStart w:id="0" w:name="_GoBack"/>
      <w:bookmarkEnd w:id="0"/>
      <w:r w:rsidRPr="00031315">
        <w:t>Ausbildung in einem Unternehmen bzw. einer sozialen Einrichtung, Ausbildungsvergütung</w:t>
      </w:r>
    </w:p>
    <w:p w:rsidR="00031315" w:rsidRPr="00031315" w:rsidRDefault="00031315" w:rsidP="00031315">
      <w:pPr>
        <w:pStyle w:val="Listenabsatz"/>
        <w:numPr>
          <w:ilvl w:val="0"/>
          <w:numId w:val="15"/>
        </w:numPr>
        <w:spacing w:line="360" w:lineRule="auto"/>
      </w:pPr>
      <w:r w:rsidRPr="00031315">
        <w:t>Pädagogische Hochschule: Schwerpunkt auf pädagogischen Studiengängen (außer Gymnasium), hoher Praxis- und Anwendungsbezug</w:t>
      </w:r>
    </w:p>
    <w:p w:rsidR="00031315" w:rsidRPr="00031315" w:rsidRDefault="00632AD1" w:rsidP="00031315">
      <w:pPr>
        <w:pStyle w:val="Listenabsatz"/>
        <w:numPr>
          <w:ilvl w:val="0"/>
          <w:numId w:val="15"/>
        </w:numPr>
        <w:spacing w:line="360" w:lineRule="auto"/>
      </w:pPr>
      <w:r>
        <w:t>Kunst- und Musikhochschule: K</w:t>
      </w:r>
      <w:r w:rsidR="00031315" w:rsidRPr="00031315">
        <w:t xml:space="preserve">ünstlerische/musikalische Studiengänge, oft </w:t>
      </w:r>
      <w:r>
        <w:t xml:space="preserve"> mit </w:t>
      </w:r>
      <w:r w:rsidR="00031315" w:rsidRPr="00031315">
        <w:t>Aufnahmeprüfung</w:t>
      </w:r>
    </w:p>
    <w:p w:rsidR="00031315" w:rsidRPr="00031315" w:rsidRDefault="00031315" w:rsidP="00031315">
      <w:pPr>
        <w:pStyle w:val="Listenabsatz"/>
        <w:numPr>
          <w:ilvl w:val="0"/>
          <w:numId w:val="15"/>
        </w:numPr>
        <w:spacing w:line="360" w:lineRule="auto"/>
      </w:pPr>
      <w:r w:rsidRPr="00031315">
        <w:t>Private Hochschule: verschiedene Schwerpunkte, meist Studiengebühren</w:t>
      </w:r>
    </w:p>
    <w:p w:rsidR="00031315" w:rsidRPr="00031315" w:rsidRDefault="00031315" w:rsidP="00031315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031315">
        <w:rPr>
          <w:rFonts w:asciiTheme="minorHAnsi" w:hAnsiTheme="minorHAnsi" w:cs="Times New Roman"/>
          <w:color w:val="365F91"/>
          <w:sz w:val="22"/>
          <w:szCs w:val="22"/>
        </w:rPr>
        <w:t>Abschlussarten</w:t>
      </w:r>
    </w:p>
    <w:p w:rsidR="00031315" w:rsidRPr="00031315" w:rsidRDefault="00031315" w:rsidP="00031315">
      <w:pPr>
        <w:spacing w:line="360" w:lineRule="auto"/>
        <w:jc w:val="both"/>
      </w:pPr>
      <w:r w:rsidRPr="00031315">
        <w:t>Seit der Bologna-Reform wurden die Studien-Abschlüsse nach und nach in das mehrstufige Bachelor-Master-System überführt. Bachelor-Abschlüsse werden für grundständige Studiengänge vergeben. An einen Bachelor können Master-Studiengänge angeschlossen werden, welche der Vertiefung bzw. Weiterbildung dienen. Ausnahmen davon existieren noch in wenigen Fächern wie z.B. Medizin oder Jura; in diesen Fächern wird ein Staatsexamen verliehen.</w:t>
      </w:r>
    </w:p>
    <w:p w:rsidR="00031315" w:rsidRPr="00031315" w:rsidRDefault="00031315" w:rsidP="00031315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031315">
        <w:rPr>
          <w:rFonts w:asciiTheme="minorHAnsi" w:hAnsiTheme="minorHAnsi" w:cs="Times New Roman"/>
          <w:color w:val="365F91"/>
          <w:sz w:val="22"/>
          <w:szCs w:val="22"/>
        </w:rPr>
        <w:t>Weitere Informationen</w:t>
      </w:r>
    </w:p>
    <w:p w:rsidR="000751C4" w:rsidRPr="0029583B" w:rsidRDefault="00632AD1" w:rsidP="00031315">
      <w:hyperlink r:id="rId10" w:history="1">
        <w:r w:rsidR="00031315" w:rsidRPr="00031315">
          <w:t>https://www.studieren-in-bw.de/waehrend-des-studiums/hochschulen-in-baden-wuerttemberg/</w:t>
        </w:r>
      </w:hyperlink>
    </w:p>
    <w:sectPr w:rsidR="000751C4" w:rsidRPr="0029583B" w:rsidSect="004D7A15">
      <w:headerReference w:type="default" r:id="rId11"/>
      <w:footerReference w:type="default" r:id="rId12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5" w:rsidRDefault="00B53175" w:rsidP="00F53B48">
      <w:pPr>
        <w:spacing w:after="0" w:line="240" w:lineRule="auto"/>
      </w:pPr>
      <w:r>
        <w:separator/>
      </w:r>
    </w:p>
  </w:endnote>
  <w:endnote w:type="continuationSeparator" w:id="0">
    <w:p w:rsidR="00B53175" w:rsidRDefault="00B53175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21" w:rsidRPr="00676AEC" w:rsidRDefault="00E62921" w:rsidP="00E62921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3A7A9854" wp14:editId="0C329002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CB46C4" wp14:editId="33667CDC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E62921" w:rsidRPr="008778F8" w:rsidRDefault="00E62921" w:rsidP="00E62921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7DD0CB7A" wp14:editId="4E1AF311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EBB4A7" wp14:editId="3F7E76EF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921" w:rsidRPr="008778F8" w:rsidRDefault="00E62921" w:rsidP="00E62921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E62921" w:rsidRPr="008778F8" w:rsidRDefault="00E62921" w:rsidP="00E62921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E62921" w:rsidRDefault="00E62921" w:rsidP="00E62921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71A589DC" wp14:editId="76A6B15C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5" w:rsidRDefault="00B53175" w:rsidP="00F53B48">
      <w:pPr>
        <w:spacing w:after="0" w:line="240" w:lineRule="auto"/>
      </w:pPr>
      <w:r>
        <w:separator/>
      </w:r>
    </w:p>
  </w:footnote>
  <w:footnote w:type="continuationSeparator" w:id="0">
    <w:p w:rsidR="00B53175" w:rsidRDefault="00B53175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031315">
      <w:rPr>
        <w:rFonts w:cs="Arial"/>
        <w:color w:val="365F91" w:themeColor="accent1" w:themeShade="BF"/>
        <w:sz w:val="48"/>
      </w:rPr>
      <w:t>Die Hochschullandschaft in BW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1B43B0">
      <w:rPr>
        <w:rFonts w:cs="Arial"/>
        <w:color w:val="808080" w:themeColor="background1" w:themeShade="80"/>
        <w:sz w:val="24"/>
      </w:rPr>
      <w:t>Quick Facts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0"/>
    <w:rsid w:val="00021FD1"/>
    <w:rsid w:val="00031315"/>
    <w:rsid w:val="000326F2"/>
    <w:rsid w:val="000751C4"/>
    <w:rsid w:val="000C28AA"/>
    <w:rsid w:val="00120059"/>
    <w:rsid w:val="001235D2"/>
    <w:rsid w:val="00185AA6"/>
    <w:rsid w:val="001B43B0"/>
    <w:rsid w:val="001C4573"/>
    <w:rsid w:val="001F58A3"/>
    <w:rsid w:val="0029583B"/>
    <w:rsid w:val="002D29FD"/>
    <w:rsid w:val="003B7998"/>
    <w:rsid w:val="003C36FB"/>
    <w:rsid w:val="00402E8C"/>
    <w:rsid w:val="0041311E"/>
    <w:rsid w:val="00437345"/>
    <w:rsid w:val="00491836"/>
    <w:rsid w:val="004A68E3"/>
    <w:rsid w:val="004D7A15"/>
    <w:rsid w:val="004F11CD"/>
    <w:rsid w:val="00531968"/>
    <w:rsid w:val="00543041"/>
    <w:rsid w:val="00557B22"/>
    <w:rsid w:val="005938A6"/>
    <w:rsid w:val="00632AD1"/>
    <w:rsid w:val="0063692D"/>
    <w:rsid w:val="00676AEC"/>
    <w:rsid w:val="00691BF5"/>
    <w:rsid w:val="006A1E16"/>
    <w:rsid w:val="007063B9"/>
    <w:rsid w:val="00736E94"/>
    <w:rsid w:val="007F7441"/>
    <w:rsid w:val="009445DC"/>
    <w:rsid w:val="00962395"/>
    <w:rsid w:val="00990774"/>
    <w:rsid w:val="00A545EA"/>
    <w:rsid w:val="00A74B38"/>
    <w:rsid w:val="00AC36C6"/>
    <w:rsid w:val="00AF2313"/>
    <w:rsid w:val="00B432D6"/>
    <w:rsid w:val="00B528A6"/>
    <w:rsid w:val="00B53175"/>
    <w:rsid w:val="00B567D1"/>
    <w:rsid w:val="00B91D7C"/>
    <w:rsid w:val="00BA48EF"/>
    <w:rsid w:val="00C03B03"/>
    <w:rsid w:val="00C14E68"/>
    <w:rsid w:val="00C531C3"/>
    <w:rsid w:val="00CC389D"/>
    <w:rsid w:val="00D20848"/>
    <w:rsid w:val="00D905BB"/>
    <w:rsid w:val="00E62921"/>
    <w:rsid w:val="00E740D9"/>
    <w:rsid w:val="00E96FED"/>
    <w:rsid w:val="00F422C7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tudieren-in-bw.de/waehrend-des-studiums/hochschulen-in-baden-wuerttembe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98A6-EA22-4C50-8646-3BE45533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5</cp:revision>
  <cp:lastPrinted>2019-11-05T13:58:00Z</cp:lastPrinted>
  <dcterms:created xsi:type="dcterms:W3CDTF">2019-11-05T13:58:00Z</dcterms:created>
  <dcterms:modified xsi:type="dcterms:W3CDTF">2019-12-03T09:33:00Z</dcterms:modified>
</cp:coreProperties>
</file>